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" w:leftChars="-67" w:hanging="142" w:hangingChars="33"/>
        <w:jc w:val="center"/>
        <w:rPr>
          <w:rFonts w:ascii="新宋体" w:hAnsi="新宋体" w:eastAsia="新宋体"/>
          <w:b/>
          <w:color w:val="FF0000"/>
          <w:kern w:val="0"/>
          <w:sz w:val="84"/>
          <w:szCs w:val="84"/>
        </w:rPr>
      </w:pPr>
      <w:r>
        <w:rPr>
          <w:rFonts w:hint="eastAsia" w:ascii="新宋体" w:hAnsi="新宋体" w:eastAsia="新宋体"/>
          <w:b/>
          <w:color w:val="FF0000"/>
          <w:w w:val="51"/>
          <w:kern w:val="0"/>
          <w:sz w:val="84"/>
          <w:szCs w:val="84"/>
          <w:fitText w:val="10758" w:id="0"/>
        </w:rPr>
        <w:t>中国国际贸易促进委员会山东省委员会贸易投资服务中</w:t>
      </w:r>
      <w:r>
        <w:rPr>
          <w:rFonts w:hint="eastAsia" w:ascii="新宋体" w:hAnsi="新宋体" w:eastAsia="新宋体"/>
          <w:b/>
          <w:color w:val="FF0000"/>
          <w:spacing w:val="5"/>
          <w:w w:val="51"/>
          <w:kern w:val="0"/>
          <w:sz w:val="84"/>
          <w:szCs w:val="84"/>
          <w:fitText w:val="10758" w:id="0"/>
        </w:rPr>
        <w:t>心</w:t>
      </w:r>
    </w:p>
    <w:p>
      <w:pPr>
        <w:ind w:left="137" w:leftChars="-67" w:hanging="278" w:hangingChars="33"/>
        <w:jc w:val="center"/>
        <w:rPr>
          <w:rFonts w:ascii="宋体" w:hAnsi="宋体"/>
          <w:b/>
          <w:sz w:val="10"/>
          <w:szCs w:val="10"/>
        </w:rPr>
      </w:pPr>
      <w:r>
        <w:rPr>
          <w:rFonts w:ascii="新宋体" w:hAnsi="新宋体" w:eastAsia="新宋体" w:cs="Times New Roman"/>
          <w:b/>
          <w:color w:val="FF0000"/>
          <w:kern w:val="0"/>
          <w:sz w:val="84"/>
          <w:szCs w:val="84"/>
          <w:lang w:val="en-US" w:eastAsia="zh-CN" w:bidi="ar-SA"/>
        </w:rPr>
        <w:pict>
          <v:line id="Line 2" o:spid="_x0000_s1026" style="position:absolute;left:0;margin-left:11.35pt;margin-top:3.2pt;height:0.05pt;width:511.5pt;rotation:0f;z-index:251658240;" o:ole="f" fillcolor="#FFFFFF" filled="f" o:preferrelative="t" stroked="t" coordsize="21600,21600">
            <v:fill on="f" color2="#FFFFFF" focus="0%"/>
            <v:stroke color="#FF0000" color2="#FFFFFF" linestyle="thinThick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2019 中国品牌商品（乌兹别克斯坦）展招展通知</w:t>
      </w:r>
    </w:p>
    <w:p>
      <w:pPr>
        <w:spacing w:line="220" w:lineRule="atLeas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各有关单位：</w:t>
      </w:r>
      <w:bookmarkStart w:id="0" w:name="_GoBack"/>
      <w:bookmarkEnd w:id="0"/>
    </w:p>
    <w:p>
      <w:pPr>
        <w:spacing w:line="220" w:lineRule="atLeas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为贯彻落实国家“一带一路”发展战略,商务部将于 2019 年6 月 12 日至 6 月 14 日在乌兹别克斯坦举办 2019 中国品牌商品（乌兹别克斯坦）展。具体情况如下：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一、展出时间：</w:t>
      </w:r>
      <w:r>
        <w:rPr>
          <w:rFonts w:hint="eastAsia" w:ascii="华文仿宋" w:hAnsi="华文仿宋" w:eastAsia="华文仿宋"/>
          <w:sz w:val="28"/>
          <w:szCs w:val="28"/>
        </w:rPr>
        <w:t>2019年6月12 - 6月14日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二、展会地点：</w:t>
      </w:r>
      <w:r>
        <w:rPr>
          <w:rFonts w:hint="eastAsia" w:ascii="华文仿宋" w:hAnsi="华文仿宋" w:eastAsia="华文仿宋"/>
          <w:sz w:val="28"/>
          <w:szCs w:val="28"/>
        </w:rPr>
        <w:t>乌兹别克斯坦塔什干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三、主办单位：</w:t>
      </w:r>
      <w:r>
        <w:rPr>
          <w:rFonts w:hint="eastAsia" w:ascii="华文仿宋" w:hAnsi="华文仿宋" w:eastAsia="华文仿宋"/>
          <w:sz w:val="28"/>
          <w:szCs w:val="28"/>
        </w:rPr>
        <w:t>商务部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四、境外合作单位：</w:t>
      </w:r>
      <w:r>
        <w:rPr>
          <w:rFonts w:hint="eastAsia" w:ascii="华文仿宋" w:hAnsi="华文仿宋" w:eastAsia="华文仿宋"/>
          <w:sz w:val="28"/>
          <w:szCs w:val="28"/>
        </w:rPr>
        <w:t>法兰克福展览公司</w:t>
      </w:r>
    </w:p>
    <w:p>
      <w:pPr>
        <w:spacing w:line="220" w:lineRule="atLeas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五、市场背景</w:t>
      </w:r>
    </w:p>
    <w:p>
      <w:pPr>
        <w:spacing w:line="220" w:lineRule="atLeas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乌兹别克斯坦是丝绸之路经济带沿线重要支点国家，人口约2900 万。2007-2016 年乌兹别克斯坦经济保持 8％以上的平均增速， 是世界上经济发展最快的前五个国家之一。2017 当年经济增长5.3％，2018 年预期增速为5.9%,是中亚经济增长最快的国家。2017年外贸额 269.62 亿美元，同比增长 11.3％，其中出口 139.54 亿 美元，增长 15.4％，进口 130.08 亿美元，增长 7.2％。去年 9 月5 日起，乌政府开始实行货币自由化改革，取消延续多年的外汇管制政策，消除了外资进入乌市场的主要障碍，是企业积极开拓中 亚市场的良好时机。</w:t>
      </w:r>
    </w:p>
    <w:p>
      <w:pPr>
        <w:spacing w:line="220" w:lineRule="atLeas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自 1992 年 1 月中国和乌兹别克斯坦建交以来，乌兹别克斯坦和中国在各领域的合作不断加强。在独联体国家中，乌兹别克斯 坦占中国对外贸易的第四位。2017 年乌中贸易额大幅增长，贸易额 49.67 亿美元，同比增长 16.8％，占乌外贸总额的 18.4％，其中中方进口 22.39 亿美元，增长 12％，中方出口 27.28 亿美元， 增长 21％。从产品结构上看，中国对乌兹别克斯坦出口主要商品为各类家电产品和电机、电气设备，占比 38.9%、化工产品和塑料产品（占比 16.5％）、食品（占比 9.8％）。</w:t>
      </w:r>
    </w:p>
    <w:p>
      <w:pPr>
        <w:spacing w:line="220" w:lineRule="atLeas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目前乌兹别克斯坦的政治稳定,与周边国家关系良好。随着中乌经贸关系进入新的历史阶段，该展会将是中国品牌商品通向乌 兹别克斯坦及欧洲市场的重要平台。</w:t>
      </w:r>
      <w:r>
        <w:rPr>
          <w:rFonts w:ascii="华文仿宋" w:hAnsi="华文仿宋" w:eastAsia="华文仿宋"/>
          <w:sz w:val="28"/>
          <w:szCs w:val="28"/>
        </w:rPr>
        <w:t xml:space="preserve"> </w:t>
      </w:r>
    </w:p>
    <w:p>
      <w:pPr>
        <w:spacing w:line="220" w:lineRule="atLeas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六、展品范围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工程机械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轻工机械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汽车配件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家居用品及家居饰品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家用电器及消费电子产品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厨房用品及陶瓷制品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7.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园艺用品及户外用品</w:t>
      </w:r>
    </w:p>
    <w:p>
      <w:pPr>
        <w:spacing w:line="220" w:lineRule="atLeas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七、参展费用</w:t>
      </w:r>
    </w:p>
    <w:tbl>
      <w:tblPr>
        <w:tblW w:w="8529" w:type="dxa"/>
        <w:tblInd w:w="5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5149"/>
        <w:gridCol w:w="1260"/>
        <w:gridCol w:w="2120"/>
      </w:tblGrid>
      <w:tr>
        <w:trPr>
          <w:trHeight w:val="449" w:hRule="atLeast"/>
        </w:trPr>
        <w:tc>
          <w:tcPr>
            <w:tcW w:w="5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ind w:left="2072" w:right="2066"/>
              <w:jc w:val="center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费用项目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ind w:left="388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单位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ind w:left="798" w:right="791"/>
              <w:jc w:val="center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金额</w:t>
            </w:r>
          </w:p>
        </w:tc>
      </w:tr>
      <w:tr>
        <w:trPr>
          <w:trHeight w:val="236" w:hRule="atLeast"/>
        </w:trPr>
        <w:tc>
          <w:tcPr>
            <w:tcW w:w="51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kinsoku w:val="0"/>
              <w:overflowPunct w:val="0"/>
              <w:spacing w:before="10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kinsoku w:val="0"/>
              <w:overflowPunct w:val="0"/>
              <w:spacing w:before="10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line="292" w:lineRule="exact"/>
              <w:ind w:left="458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人民币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(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元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)</w:t>
            </w:r>
          </w:p>
        </w:tc>
      </w:tr>
      <w:tr>
        <w:trPr>
          <w:trHeight w:val="3781" w:hRule="atLeast"/>
        </w:trPr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一、展位费</w:t>
            </w:r>
          </w:p>
          <w:p>
            <w:pPr>
              <w:pStyle w:val="7"/>
              <w:kinsoku w:val="0"/>
              <w:overflowPunct w:val="0"/>
              <w:spacing w:before="4" w:line="244" w:lineRule="auto"/>
              <w:ind w:left="107" w:right="94"/>
              <w:rPr>
                <w:rFonts w:ascii="华文仿宋" w:hAnsi="华文仿宋" w:eastAsia="华文仿宋" w:cs="宋体"/>
                <w:spacing w:val="-25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sz w:val="21"/>
                <w:szCs w:val="21"/>
              </w:rPr>
              <w:t xml:space="preserve">1. 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普通标准摊位（</w:t>
            </w:r>
            <w:r>
              <w:rPr>
                <w:rFonts w:hint="eastAsia" w:ascii="华文仿宋" w:hAnsi="华文仿宋" w:eastAsia="华文仿宋" w:cs="宋体"/>
                <w:spacing w:val="-1"/>
                <w:sz w:val="21"/>
                <w:szCs w:val="21"/>
              </w:rPr>
              <w:t>包括墙板，楣板，地毯，基</w:t>
            </w:r>
            <w:r>
              <w:rPr>
                <w:rFonts w:hint="eastAsia" w:ascii="华文仿宋" w:hAnsi="华文仿宋" w:eastAsia="华文仿宋" w:cs="宋体"/>
                <w:spacing w:val="-6"/>
                <w:sz w:val="21"/>
                <w:szCs w:val="21"/>
              </w:rPr>
              <w:t>本灯光设备，电源插头，清洁费。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30"/>
                <w:sz w:val="21"/>
                <w:szCs w:val="21"/>
              </w:rPr>
              <w:t>圆桌</w:t>
            </w:r>
            <w:r>
              <w:rPr>
                <w:rFonts w:ascii="华文仿宋" w:hAnsi="华文仿宋" w:eastAsia="华文仿宋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3</w:t>
            </w:r>
            <w:r>
              <w:rPr>
                <w:rFonts w:ascii="华文仿宋" w:hAnsi="华文仿宋" w:eastAsia="华文仿宋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25"/>
                <w:sz w:val="21"/>
                <w:szCs w:val="21"/>
              </w:rPr>
              <w:t>折椅</w:t>
            </w:r>
          </w:p>
          <w:p>
            <w:pPr>
              <w:pStyle w:val="7"/>
              <w:kinsoku w:val="0"/>
              <w:overflowPunct w:val="0"/>
              <w:spacing w:line="242" w:lineRule="auto"/>
              <w:ind w:left="107" w:right="48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25"/>
                <w:sz w:val="21"/>
                <w:szCs w:val="21"/>
              </w:rPr>
              <w:t>咨询台</w:t>
            </w:r>
            <w:r>
              <w:rPr>
                <w:rFonts w:ascii="华文仿宋" w:hAnsi="华文仿宋" w:eastAsia="华文仿宋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2</w:t>
            </w:r>
            <w:r>
              <w:rPr>
                <w:rFonts w:ascii="华文仿宋" w:hAnsi="华文仿宋" w:eastAsia="华文仿宋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30"/>
                <w:sz w:val="21"/>
                <w:szCs w:val="21"/>
              </w:rPr>
              <w:t>射灯</w:t>
            </w:r>
            <w:r>
              <w:rPr>
                <w:rFonts w:ascii="华文仿宋" w:hAnsi="华文仿宋" w:eastAsia="华文仿宋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9"/>
                <w:sz w:val="21"/>
                <w:szCs w:val="21"/>
              </w:rPr>
              <w:t>垃圾篓，中国展区豪华布置，</w:t>
            </w:r>
            <w:r>
              <w:rPr>
                <w:rFonts w:ascii="华文仿宋" w:hAnsi="华文仿宋" w:eastAsia="华文仿宋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含基本用电</w:t>
            </w:r>
            <w:r>
              <w:rPr>
                <w:rFonts w:hint="eastAsia" w:ascii="华文仿宋" w:hAnsi="华文仿宋" w:eastAsia="华文仿宋" w:cs="宋体"/>
                <w:spacing w:val="-1"/>
                <w:sz w:val="21"/>
                <w:szCs w:val="21"/>
              </w:rPr>
              <w:t>（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1KW</w:t>
            </w:r>
            <w:r>
              <w:rPr>
                <w:rFonts w:hint="eastAsia" w:ascii="华文仿宋" w:hAnsi="华文仿宋" w:eastAsia="华文仿宋" w:cs="宋体"/>
                <w:spacing w:val="-120"/>
                <w:sz w:val="21"/>
                <w:szCs w:val="21"/>
              </w:rPr>
              <w:t>）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、基本展具及日常清洁费</w:t>
            </w:r>
          </w:p>
          <w:p>
            <w:pPr>
              <w:pStyle w:val="7"/>
              <w:kinsoku w:val="0"/>
              <w:overflowPunct w:val="0"/>
              <w:spacing w:line="242" w:lineRule="auto"/>
              <w:ind w:left="107" w:right="9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sz w:val="21"/>
                <w:szCs w:val="21"/>
              </w:rPr>
              <w:t>2.</w:t>
            </w:r>
            <w:r>
              <w:rPr>
                <w:rFonts w:ascii="华文仿宋" w:hAnsi="华文仿宋" w:eastAsia="华文仿宋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13"/>
                <w:sz w:val="21"/>
                <w:szCs w:val="21"/>
              </w:rPr>
              <w:t>光地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（</w:t>
            </w:r>
            <w:r>
              <w:rPr>
                <w:rFonts w:hint="eastAsia" w:ascii="华文仿宋" w:hAnsi="华文仿宋" w:eastAsia="华文仿宋" w:cs="宋体"/>
                <w:spacing w:val="-20"/>
                <w:sz w:val="21"/>
                <w:szCs w:val="21"/>
              </w:rPr>
              <w:t>最少</w:t>
            </w:r>
            <w:r>
              <w:rPr>
                <w:rFonts w:ascii="华文仿宋" w:hAnsi="华文仿宋" w:eastAsia="华文仿宋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24</w:t>
            </w:r>
            <w:r>
              <w:rPr>
                <w:rFonts w:ascii="华文仿宋" w:hAnsi="华文仿宋" w:eastAsia="华文仿宋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14"/>
                <w:sz w:val="21"/>
                <w:szCs w:val="21"/>
              </w:rPr>
              <w:t>㎡起，不含任何搭建、展具和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水电供应）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before="6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每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 xml:space="preserve"> 9 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平米</w:t>
            </w: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spacing w:before="2"/>
              <w:ind w:firstLine="5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每平米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before="6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sz w:val="21"/>
                <w:szCs w:val="21"/>
              </w:rPr>
              <w:t>35000</w:t>
            </w: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spacing w:before="2"/>
              <w:ind w:firstLine="5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ascii="华文仿宋" w:hAnsi="华文仿宋" w:eastAsia="华文仿宋" w:cs="宋体"/>
                <w:sz w:val="21"/>
                <w:szCs w:val="21"/>
              </w:rPr>
              <w:t>3500</w:t>
            </w:r>
          </w:p>
        </w:tc>
      </w:tr>
      <w:tr>
        <w:trPr>
          <w:trHeight w:val="2184" w:hRule="atLeast"/>
        </w:trPr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二、展品费用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49"/>
              </w:tabs>
              <w:kinsoku w:val="0"/>
              <w:overflowPunct w:val="0"/>
              <w:spacing w:before="4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展品集货、海陆运、商检、报关、运至展台</w:t>
            </w:r>
          </w:p>
          <w:p>
            <w:pPr>
              <w:pStyle w:val="7"/>
              <w:kinsoku w:val="0"/>
              <w:overflowPunct w:val="0"/>
              <w:spacing w:before="4" w:line="244" w:lineRule="auto"/>
              <w:ind w:left="422" w:right="96"/>
              <w:jc w:val="both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（</w:t>
            </w:r>
            <w:r>
              <w:rPr>
                <w:rFonts w:hint="eastAsia" w:ascii="华文仿宋" w:hAnsi="华文仿宋" w:eastAsia="华文仿宋" w:cs="宋体"/>
                <w:spacing w:val="-13"/>
                <w:sz w:val="21"/>
                <w:szCs w:val="21"/>
              </w:rPr>
              <w:t>不足</w:t>
            </w:r>
            <w:r>
              <w:rPr>
                <w:rFonts w:ascii="华文仿宋" w:hAnsi="华文仿宋" w:eastAsia="华文仿宋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0.5</w:t>
            </w:r>
            <w:r>
              <w:rPr>
                <w:rFonts w:ascii="华文仿宋" w:hAnsi="华文仿宋" w:eastAsia="华文仿宋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13"/>
                <w:sz w:val="21"/>
                <w:szCs w:val="21"/>
              </w:rPr>
              <w:t>立方米按</w:t>
            </w:r>
            <w:r>
              <w:rPr>
                <w:rFonts w:ascii="华文仿宋" w:hAnsi="华文仿宋" w:eastAsia="华文仿宋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7"/>
                <w:sz w:val="21"/>
                <w:szCs w:val="21"/>
              </w:rPr>
              <w:t>立方米计算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，</w:t>
            </w:r>
            <w:r>
              <w:rPr>
                <w:rFonts w:ascii="华文仿宋" w:hAnsi="华文仿宋" w:eastAsia="华文仿宋" w:cs="宋体"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pacing w:val="-18"/>
                <w:sz w:val="21"/>
                <w:szCs w:val="21"/>
              </w:rPr>
              <w:t>立方</w:t>
            </w: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米以上按实际体积相承计算；如展品重量超过，将根据重量计算）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49"/>
              </w:tabs>
              <w:kinsoku w:val="0"/>
              <w:overflowPunct w:val="0"/>
              <w:spacing w:line="303" w:lineRule="exact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关税、保险（另收）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49"/>
              </w:tabs>
              <w:kinsoku w:val="0"/>
              <w:overflowPunct w:val="0"/>
              <w:spacing w:before="5" w:line="292" w:lineRule="exact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展品回运费、结关费用（不回运免交）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before="4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每立方米</w:t>
            </w: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spacing w:before="10"/>
              <w:ind w:firstLine="50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spacing w:line="292" w:lineRule="exact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每立方米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before="4"/>
              <w:ind w:firstLine="422"/>
              <w:rPr>
                <w:rFonts w:ascii="华文仿宋" w:hAnsi="华文仿宋" w:eastAsia="华文仿宋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kinsoku w:val="0"/>
              <w:overflowPunct w:val="0"/>
              <w:ind w:left="107"/>
              <w:rPr>
                <w:rFonts w:ascii="华文仿宋" w:hAnsi="华文仿宋" w:eastAsia="华文仿宋" w:cs="宋体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宋体"/>
                <w:sz w:val="21"/>
                <w:szCs w:val="21"/>
              </w:rPr>
              <w:t>据实结算</w:t>
            </w:r>
          </w:p>
        </w:tc>
      </w:tr>
    </w:tbl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展位费补贴：该</w:t>
      </w:r>
      <w:r>
        <w:rPr>
          <w:rFonts w:ascii="宋体" w:hAnsi="宋体"/>
          <w:b/>
          <w:sz w:val="30"/>
          <w:szCs w:val="30"/>
        </w:rPr>
        <w:t>展已列</w:t>
      </w:r>
      <w:r>
        <w:rPr>
          <w:rFonts w:hint="eastAsia" w:ascii="宋体" w:hAnsi="宋体"/>
          <w:b/>
          <w:sz w:val="30"/>
          <w:szCs w:val="30"/>
        </w:rPr>
        <w:t>为2019年</w:t>
      </w:r>
      <w:r>
        <w:rPr>
          <w:rFonts w:ascii="宋体" w:hAnsi="宋体"/>
          <w:b/>
          <w:sz w:val="30"/>
          <w:szCs w:val="30"/>
        </w:rPr>
        <w:t>山东</w:t>
      </w:r>
      <w:r>
        <w:rPr>
          <w:rFonts w:hint="eastAsia" w:ascii="宋体" w:hAnsi="宋体"/>
          <w:b/>
          <w:sz w:val="30"/>
          <w:szCs w:val="30"/>
        </w:rPr>
        <w:t>境外</w:t>
      </w:r>
      <w:r>
        <w:rPr>
          <w:rFonts w:ascii="宋体" w:hAnsi="宋体"/>
          <w:b/>
          <w:sz w:val="30"/>
          <w:szCs w:val="30"/>
        </w:rPr>
        <w:t>百展计划A</w:t>
      </w:r>
      <w:r>
        <w:rPr>
          <w:rFonts w:hint="eastAsia" w:ascii="宋体" w:hAnsi="宋体"/>
          <w:b/>
          <w:sz w:val="30"/>
          <w:szCs w:val="30"/>
        </w:rPr>
        <w:t>类，拟对省内</w:t>
      </w:r>
      <w:r>
        <w:rPr>
          <w:rFonts w:ascii="宋体" w:hAnsi="宋体"/>
          <w:b/>
          <w:sz w:val="30"/>
          <w:szCs w:val="30"/>
        </w:rPr>
        <w:t>参展企业</w:t>
      </w:r>
      <w:r>
        <w:rPr>
          <w:rFonts w:hint="eastAsia" w:ascii="宋体" w:hAnsi="宋体"/>
          <w:b/>
          <w:sz w:val="30"/>
          <w:szCs w:val="30"/>
        </w:rPr>
        <w:t>根据</w:t>
      </w:r>
      <w:r>
        <w:rPr>
          <w:rFonts w:ascii="宋体" w:hAnsi="宋体"/>
          <w:b/>
          <w:sz w:val="30"/>
          <w:szCs w:val="30"/>
        </w:rPr>
        <w:t>政策给予</w:t>
      </w:r>
      <w:r>
        <w:rPr>
          <w:rFonts w:hint="eastAsia" w:ascii="宋体" w:hAnsi="宋体"/>
          <w:b/>
          <w:sz w:val="30"/>
          <w:szCs w:val="30"/>
        </w:rPr>
        <w:t>展位</w:t>
      </w:r>
      <w:r>
        <w:rPr>
          <w:rFonts w:ascii="宋体" w:hAnsi="宋体"/>
          <w:b/>
          <w:sz w:val="30"/>
          <w:szCs w:val="30"/>
        </w:rPr>
        <w:t>和</w:t>
      </w:r>
      <w:r>
        <w:rPr>
          <w:rFonts w:hint="eastAsia" w:ascii="宋体" w:hAnsi="宋体"/>
          <w:b/>
          <w:sz w:val="30"/>
          <w:szCs w:val="30"/>
        </w:rPr>
        <w:t>运输</w:t>
      </w:r>
      <w:r>
        <w:rPr>
          <w:rFonts w:ascii="宋体" w:hAnsi="宋体"/>
          <w:b/>
          <w:sz w:val="30"/>
          <w:szCs w:val="30"/>
        </w:rPr>
        <w:t>费用</w:t>
      </w:r>
      <w:r>
        <w:rPr>
          <w:rFonts w:hint="eastAsia" w:ascii="宋体" w:hAnsi="宋体"/>
          <w:b/>
          <w:sz w:val="30"/>
          <w:szCs w:val="30"/>
        </w:rPr>
        <w:t>补贴。</w:t>
      </w:r>
    </w:p>
    <w:p>
      <w:pPr>
        <w:spacing w:line="220" w:lineRule="atLeas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八、联系方式：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请填写参展申请表，盖章并扫描后传至我会贸易投资服务中心邮箱。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联系人：宋新生、刘俊卓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电话：13361296611、18661659855、0532-85780739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邮箱： songxinsheng@ccpitsd.org.cn、3001771628@qq.com</w:t>
      </w: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</w:p>
    <w:p>
      <w:pPr>
        <w:spacing w:line="220" w:lineRule="atLeast"/>
        <w:rPr>
          <w:rFonts w:ascii="华文仿宋" w:hAnsi="华文仿宋" w:eastAsia="华文仿宋"/>
          <w:sz w:val="28"/>
          <w:szCs w:val="28"/>
        </w:rPr>
      </w:pPr>
    </w:p>
    <w:p>
      <w:pPr>
        <w:spacing w:line="220" w:lineRule="atLeast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山东省贸促会贸易投资服务中心</w:t>
      </w:r>
    </w:p>
    <w:p>
      <w:pPr>
        <w:spacing w:line="220" w:lineRule="atLeast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2018 年 12月 18 日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topLinePunct w:val="1"/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2019 中国品牌商品（乌兹别克斯坦）展</w:t>
      </w:r>
    </w:p>
    <w:p>
      <w:pPr>
        <w:topLinePunct w:val="1"/>
        <w:spacing w:line="360" w:lineRule="exact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b/>
          <w:bCs/>
          <w:sz w:val="32"/>
          <w:szCs w:val="32"/>
        </w:rPr>
        <w:t>参  展  申  请  表 ( 代 合 同 )</w:t>
      </w:r>
    </w:p>
    <w:tbl>
      <w:tblPr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06"/>
        <w:gridCol w:w="311"/>
        <w:gridCol w:w="933"/>
        <w:gridCol w:w="1310"/>
        <w:gridCol w:w="900"/>
        <w:gridCol w:w="331"/>
        <w:gridCol w:w="929"/>
        <w:gridCol w:w="540"/>
        <w:gridCol w:w="1446"/>
        <w:gridCol w:w="1850"/>
      </w:tblGrid>
      <w:tr>
        <w:trPr>
          <w:cantSplit/>
          <w:jc w:val="center"/>
        </w:trPr>
        <w:tc>
          <w:tcPr>
            <w:tcW w:w="1406" w:type="dxa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展览会名称</w:t>
            </w:r>
          </w:p>
        </w:tc>
        <w:tc>
          <w:tcPr>
            <w:tcW w:w="8550" w:type="dxa"/>
            <w:gridSpan w:val="9"/>
            <w:vAlign w:val="top"/>
          </w:tcPr>
          <w:p>
            <w:pPr>
              <w:spacing w:line="36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2019 中国品牌商品（乌兹别克斯坦）展</w:t>
            </w:r>
          </w:p>
        </w:tc>
      </w:tr>
      <w:tr>
        <w:trPr>
          <w:jc w:val="center"/>
        </w:trPr>
        <w:tc>
          <w:tcPr>
            <w:tcW w:w="1406" w:type="dxa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展出日期</w:t>
            </w:r>
          </w:p>
        </w:tc>
        <w:tc>
          <w:tcPr>
            <w:tcW w:w="2554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2019年</w:t>
            </w:r>
            <w:r>
              <w:rPr>
                <w:rFonts w:ascii="宋体" w:hAnsi="宋体"/>
                <w:color w:val="000000"/>
              </w:rPr>
              <w:t>6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>12</w:t>
            </w:r>
            <w:r>
              <w:rPr>
                <w:rFonts w:hint="eastAsia" w:ascii="宋体" w:hAnsi="宋体"/>
                <w:color w:val="000000"/>
              </w:rPr>
              <w:t>日-</w:t>
            </w:r>
            <w:r>
              <w:rPr>
                <w:rFonts w:ascii="宋体" w:hAnsi="宋体"/>
                <w:color w:val="000000"/>
              </w:rPr>
              <w:t>14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  <w:tc>
          <w:tcPr>
            <w:tcW w:w="1231" w:type="dxa"/>
            <w:gridSpan w:val="2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参展人数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人</w:t>
            </w:r>
          </w:p>
        </w:tc>
        <w:tc>
          <w:tcPr>
            <w:tcW w:w="1446" w:type="dxa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展位面积</w:t>
            </w:r>
          </w:p>
        </w:tc>
        <w:tc>
          <w:tcPr>
            <w:tcW w:w="1850" w:type="dxa"/>
            <w:vAlign w:val="top"/>
          </w:tcPr>
          <w:p>
            <w:pPr>
              <w:topLinePunct w:val="1"/>
              <w:spacing w:line="42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个/平米</w:t>
            </w:r>
          </w:p>
        </w:tc>
      </w:tr>
      <w:tr>
        <w:trPr>
          <w:cantSplit/>
          <w:jc w:val="center"/>
        </w:trPr>
        <w:tc>
          <w:tcPr>
            <w:tcW w:w="1406" w:type="dxa"/>
            <w:vMerge w:val="restart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</w:t>
            </w:r>
          </w:p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中文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406" w:type="dxa"/>
            <w:vMerge w:val="continue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英文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406" w:type="dxa"/>
            <w:vMerge w:val="restart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</w:t>
            </w:r>
          </w:p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中文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406" w:type="dxa"/>
            <w:vMerge w:val="continue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英文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406" w:type="dxa"/>
            <w:vMerge w:val="restart"/>
            <w:vAlign w:val="top"/>
          </w:tcPr>
          <w:p>
            <w:pPr>
              <w:topLinePunct w:val="1"/>
              <w:spacing w:line="360" w:lineRule="exact"/>
              <w:jc w:val="center"/>
              <w:rPr>
                <w:rFonts w:ascii="宋体" w:hAnsi="宋体"/>
              </w:rPr>
            </w:pPr>
          </w:p>
          <w:p>
            <w:pPr>
              <w:topLinePunct w:val="1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参展产品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topLinePunct w:val="1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中文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topLinePunct w:val="1"/>
              <w:spacing w:line="360" w:lineRule="exact"/>
              <w:rPr>
                <w:rFonts w:ascii="宋体" w:hAnsi="宋体"/>
              </w:rPr>
            </w:pPr>
          </w:p>
          <w:p>
            <w:pPr>
              <w:topLinePunct w:val="1"/>
              <w:spacing w:line="36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406" w:type="dxa"/>
            <w:vMerge w:val="continue"/>
            <w:vAlign w:val="top"/>
          </w:tcPr>
          <w:p>
            <w:pPr>
              <w:topLinePunct w:val="1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2"/>
            <w:vAlign w:val="top"/>
          </w:tcPr>
          <w:p>
            <w:pPr>
              <w:topLinePunct w:val="1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英文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topLinePunct w:val="1"/>
              <w:spacing w:line="360" w:lineRule="exact"/>
              <w:rPr>
                <w:rFonts w:ascii="宋体" w:hAnsi="宋体"/>
              </w:rPr>
            </w:pPr>
          </w:p>
          <w:p>
            <w:pPr>
              <w:topLinePunct w:val="1"/>
              <w:spacing w:line="36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717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上年度出口额（万美元）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海关编码</w:t>
            </w:r>
          </w:p>
        </w:tc>
        <w:tc>
          <w:tcPr>
            <w:tcW w:w="3836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717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3836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717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  话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  真</w:t>
            </w:r>
          </w:p>
        </w:tc>
        <w:tc>
          <w:tcPr>
            <w:tcW w:w="3836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jc w:val="center"/>
        </w:trPr>
        <w:tc>
          <w:tcPr>
            <w:tcW w:w="1717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topLinePunct w:val="1"/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公司主页</w:t>
            </w:r>
          </w:p>
        </w:tc>
        <w:tc>
          <w:tcPr>
            <w:tcW w:w="3836" w:type="dxa"/>
            <w:gridSpan w:val="3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</w:rPr>
            </w:pPr>
          </w:p>
        </w:tc>
      </w:tr>
      <w:tr>
        <w:trPr>
          <w:cantSplit/>
          <w:trHeight w:val="1235" w:hRule="atLeast"/>
          <w:jc w:val="center"/>
        </w:trPr>
        <w:tc>
          <w:tcPr>
            <w:tcW w:w="1717" w:type="dxa"/>
            <w:gridSpan w:val="2"/>
            <w:shd w:val="clear" w:color="auto" w:fill="FFFFFF"/>
            <w:textDirection w:val="tbRlV"/>
            <w:vAlign w:val="top"/>
          </w:tcPr>
          <w:p>
            <w:pPr>
              <w:topLinePunct w:val="1"/>
              <w:spacing w:line="48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 xml:space="preserve">申 请 单 位 盖 章                                </w:t>
            </w:r>
          </w:p>
        </w:tc>
        <w:tc>
          <w:tcPr>
            <w:tcW w:w="3143" w:type="dxa"/>
            <w:gridSpan w:val="3"/>
            <w:shd w:val="clear" w:color="auto" w:fill="FFFFFF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日期：       年    月    日</w:t>
            </w:r>
          </w:p>
        </w:tc>
        <w:tc>
          <w:tcPr>
            <w:tcW w:w="1260" w:type="dxa"/>
            <w:gridSpan w:val="2"/>
            <w:shd w:val="clear" w:color="auto" w:fill="FFFFFF"/>
            <w:textDirection w:val="tbRlV"/>
            <w:vAlign w:val="top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 xml:space="preserve">组团单位确认盖章 盖 章       </w:t>
            </w:r>
          </w:p>
        </w:tc>
        <w:tc>
          <w:tcPr>
            <w:tcW w:w="3836" w:type="dxa"/>
            <w:gridSpan w:val="3"/>
            <w:shd w:val="clear" w:color="auto" w:fill="FFFFFF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 w:val="1"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日期：          年    月    日</w:t>
            </w:r>
          </w:p>
        </w:tc>
      </w:tr>
      <w:tr>
        <w:trPr>
          <w:cantSplit/>
          <w:jc w:val="center"/>
        </w:trPr>
        <w:tc>
          <w:tcPr>
            <w:tcW w:w="9956" w:type="dxa"/>
            <w:gridSpan w:val="10"/>
            <w:vAlign w:val="top"/>
          </w:tcPr>
          <w:p>
            <w:pPr>
              <w:topLinePunct w:val="1"/>
              <w:spacing w:line="420" w:lineRule="exac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  <w:r>
              <w:rPr>
                <w:rFonts w:hint="eastAsia" w:ascii="宋体" w:hAnsi="宋体"/>
                <w:u w:val="single"/>
              </w:rPr>
              <w:t>参  展  规  定</w:t>
            </w:r>
          </w:p>
          <w:p>
            <w:pPr>
              <w:topLinePunct w:val="1"/>
              <w:spacing w:line="420" w:lineRule="exact"/>
              <w:ind w:left="315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1、参展单位需填妥参展申请表并加盖单位公章后传真至我会，同时按文件要求交纳定金。收到申请表和定金后即确认其参展。一经确认参展后，再提出退展，已付定金不予退还。</w:t>
            </w:r>
          </w:p>
          <w:p>
            <w:pPr>
              <w:ind w:right="840"/>
              <w:rPr>
                <w:b/>
              </w:rPr>
            </w:pPr>
            <w:r>
              <w:rPr>
                <w:rFonts w:hint="eastAsia" w:ascii="宋体" w:hAnsi="宋体"/>
              </w:rPr>
              <w:t>2、</w:t>
            </w:r>
            <w:r>
              <w:rPr>
                <w:rFonts w:hint="eastAsia"/>
                <w:b/>
              </w:rPr>
              <w:t>报名时请付20000元人民币定金以确认展位。</w:t>
            </w:r>
          </w:p>
          <w:p>
            <w:pPr>
              <w:topLinePunct w:val="1"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3、如参展单位提出退展是在我方已向外方确认面积付款后，则已付展位费用不予退还。</w:t>
            </w:r>
          </w:p>
          <w:p>
            <w:pPr>
              <w:topLinePunct w:val="1"/>
              <w:spacing w:line="420" w:lineRule="exact"/>
              <w:ind w:left="315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4、如非主办机构或组团单位可控制的原因，如战争、自然灾害、签证等，造成参展单位不能参展，已付展位费用不予退还。</w:t>
            </w:r>
          </w:p>
          <w:p>
            <w:pPr>
              <w:topLinePunct w:val="1"/>
              <w:spacing w:line="42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我会账户如下：</w:t>
            </w:r>
          </w:p>
          <w:p>
            <w:pPr>
              <w:topLinePunct w:val="1"/>
              <w:spacing w:line="42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户  名：中国国际贸易促进委员会山东省委员会贸易投资服务中心</w:t>
            </w:r>
          </w:p>
          <w:p>
            <w:pPr>
              <w:spacing w:line="42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开户行：中国农业银行济南市中支行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账  号：15-111101040016679</w:t>
            </w:r>
          </w:p>
        </w:tc>
      </w:tr>
    </w:tbl>
    <w:p>
      <w:pPr>
        <w:spacing w:line="220" w:lineRule="atLeast"/>
        <w:rPr>
          <w:sz w:val="28"/>
          <w:szCs w:val="28"/>
        </w:rPr>
      </w:pPr>
    </w:p>
    <w:sectPr>
      <w:headerReference r:id="rId4" w:type="default"/>
      <w:pgSz w:w="11906" w:h="16838"/>
      <w:pgMar w:top="284" w:right="1230" w:bottom="947" w:left="1117" w:header="0" w:footer="0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微软雅黑"/>
    <w:panose1 w:val="00000000000000000000"/>
    <w:charset w:val="86"/>
    <w:family w:val="auto"/>
    <w:pitch w:val="default"/>
    <w:sig w:usb0="00000000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6">
    <w:nsid w:val="00000402"/>
    <w:multiLevelType w:val="multilevel"/>
    <w:tmpl w:val="00000402"/>
    <w:lvl w:ilvl="0" w:tentative="1">
      <w:start w:val="1"/>
      <w:numFmt w:val="decimal"/>
      <w:lvlText w:val="%1."/>
      <w:lvlJc w:val="left"/>
      <w:pPr>
        <w:ind w:left="348" w:hanging="241"/>
      </w:pPr>
      <w:rPr>
        <w:rFonts w:ascii="宋体" w:hAnsi="Times New Roman" w:cs="宋体"/>
        <w:b w:val="0"/>
        <w:bCs w:val="0"/>
        <w:w w:val="100"/>
        <w:sz w:val="22"/>
        <w:szCs w:val="22"/>
      </w:rPr>
    </w:lvl>
    <w:lvl w:ilvl="1" w:tentative="1">
      <w:start w:val="0"/>
      <w:numFmt w:val="bullet"/>
      <w:lvlText w:val="•"/>
      <w:lvlJc w:val="left"/>
      <w:pPr>
        <w:ind w:left="819" w:hanging="241"/>
      </w:pPr>
    </w:lvl>
    <w:lvl w:ilvl="2" w:tentative="1">
      <w:start w:val="0"/>
      <w:numFmt w:val="bullet"/>
      <w:lvlText w:val="•"/>
      <w:lvlJc w:val="left"/>
      <w:pPr>
        <w:ind w:left="1299" w:hanging="241"/>
      </w:pPr>
    </w:lvl>
    <w:lvl w:ilvl="3" w:tentative="1">
      <w:start w:val="0"/>
      <w:numFmt w:val="bullet"/>
      <w:lvlText w:val="•"/>
      <w:lvlJc w:val="left"/>
      <w:pPr>
        <w:ind w:left="1779" w:hanging="241"/>
      </w:pPr>
    </w:lvl>
    <w:lvl w:ilvl="4" w:tentative="1">
      <w:start w:val="0"/>
      <w:numFmt w:val="bullet"/>
      <w:lvlText w:val="•"/>
      <w:lvlJc w:val="left"/>
      <w:pPr>
        <w:ind w:left="2259" w:hanging="241"/>
      </w:pPr>
    </w:lvl>
    <w:lvl w:ilvl="5" w:tentative="1">
      <w:start w:val="0"/>
      <w:numFmt w:val="bullet"/>
      <w:lvlText w:val="•"/>
      <w:lvlJc w:val="left"/>
      <w:pPr>
        <w:ind w:left="2739" w:hanging="241"/>
      </w:pPr>
    </w:lvl>
    <w:lvl w:ilvl="6" w:tentative="1">
      <w:start w:val="0"/>
      <w:numFmt w:val="bullet"/>
      <w:lvlText w:val="•"/>
      <w:lvlJc w:val="left"/>
      <w:pPr>
        <w:ind w:left="3219" w:hanging="241"/>
      </w:pPr>
    </w:lvl>
    <w:lvl w:ilvl="7" w:tentative="1">
      <w:start w:val="0"/>
      <w:numFmt w:val="bullet"/>
      <w:lvlText w:val="•"/>
      <w:lvlJc w:val="left"/>
      <w:pPr>
        <w:ind w:left="3699" w:hanging="241"/>
      </w:pPr>
    </w:lvl>
    <w:lvl w:ilvl="8" w:tentative="1">
      <w:start w:val="0"/>
      <w:numFmt w:val="bullet"/>
      <w:lvlText w:val="•"/>
      <w:lvlJc w:val="left"/>
      <w:pPr>
        <w:ind w:left="4179" w:hanging="241"/>
      </w:pPr>
    </w:lvl>
  </w:abstractNum>
  <w:num w:numId="1">
    <w:abstractNumId w:val="10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link w:val="10"/>
    <w:qFormat/>
    <w:uiPriority w:val="1"/>
    <w:pPr>
      <w:autoSpaceDE w:val="0"/>
      <w:autoSpaceDN w:val="0"/>
      <w:adjustRightInd w:val="0"/>
      <w:spacing w:before="214"/>
      <w:jc w:val="left"/>
    </w:pPr>
    <w:rPr>
      <w:rFonts w:ascii="仿宋" w:eastAsia="仿宋" w:cs="仿宋"/>
      <w:kern w:val="0"/>
      <w:sz w:val="32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</w:rPr>
  </w:style>
  <w:style w:type="character" w:customStyle="1" w:styleId="8">
    <w:name w:val="页眉 Char Char"/>
    <w:basedOn w:val="5"/>
    <w:link w:val="4"/>
    <w:uiPriority w:val="99"/>
    <w:rPr>
      <w:sz w:val="18"/>
      <w:szCs w:val="18"/>
    </w:rPr>
  </w:style>
  <w:style w:type="character" w:customStyle="1" w:styleId="9">
    <w:name w:val="页脚 Char Char"/>
    <w:basedOn w:val="5"/>
    <w:link w:val="3"/>
    <w:uiPriority w:val="99"/>
    <w:rPr>
      <w:sz w:val="18"/>
      <w:szCs w:val="18"/>
    </w:rPr>
  </w:style>
  <w:style w:type="character" w:customStyle="1" w:styleId="10">
    <w:name w:val="正文文本 Char Char"/>
    <w:basedOn w:val="5"/>
    <w:link w:val="2"/>
    <w:uiPriority w:val="1"/>
    <w:rPr>
      <w:rFonts w:ascii="仿宋" w:hAnsi="Times New Roman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325</Words>
  <Characters>1855</Characters>
  <Lines>15</Lines>
  <Paragraphs>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2018-12-24T01:05:00Z</dcterms:created>
  <dc:creator>Microsoft</dc:creator>
  <cp:lastModifiedBy>caowei</cp:lastModifiedBy>
  <cp:lastPrinted>2019-01-08T10:00:54Z</cp:lastPrinted>
  <dcterms:modified xsi:type="dcterms:W3CDTF">2019-01-08T10:07:32Z</dcterms:modified>
  <dc:title>中国国际贸易促进委员会山东省委员会贸易投资服务中心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