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关于邀请参加2017年伊朗国际汽车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零配件展览会的函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2"/>
          <w:position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各县区贸促会，临沂高新技术产业开发区、临沂经济技术开发区贸促会，临沂临港经济开发区贸促会，各专业委员会，各会员企业：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为促进我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企业界与伊朗的经贸合作和技术交流，进一步开拓中东市场，我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拟组织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内相关行业企业赴伊朗参加第十一届伊朗国际汽车零配件展览会（Iran International Auto Parts Exhibition,简称IAP）。现将有关情况介绍如下。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一、展会简介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展会日期：2017年11月15-19日（暂定）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展会周期：一年一届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展会地点：伊朗德黑兰国际展览中心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该展览会仅对专业观众开放，是整个中东近期发展最快、最具影响力的专业汽车配件展览会之一。2016年此展共有来自德国，法国，英国，意大利，瑞典，荷兰，捷克共和国，塞尔维亚，罗马 尼亚，新西兰，巴西，南非，日本，韩国，中国，土耳其，新加 坡，泰国，阿联酋等十几个国家和地区约 600多家国际汽配企业及 300 多家伊朗当地企业参展。国外参展商中，有近 400 家中国企业参展，为规模最大的外国展团。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二、展品范围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汽摩零部件：汽车电机、传动;汽车摩托车保险杠、车身底盘、汽车座椅、安全系统、汽车保养产品；悬挂件、标准件、泵，滤清器，锁具，气缸垫、车用玻璃，灯镜、油料及润滑剂；汽车电子电池、汽车音响车载电视、各种车辆零配件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其它：铸锻造件、冲压件、化工塑胶、装饰件、模具、质量 检测等。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三、市场分析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主办国情况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伊朗是中东地区首屈一指的汽车生产大国，也是亚洲大陆上最早从事汽车生产制造的国家之一，2006年列世界第十六大汽车生产国之位。2006/07 财年汽车总产量为 108.4 万台，约占同期 世界汽车总产量的 1.43%。2006年3月至 2007 年 3月间，伊朗每千人汽车拥有量为 127 台。当前，伊朗国内共有 25 家汽车生产企业，产品包括轻型与重型车辆。这些汽车生产企业全都与世界著名的汽车生产企业建立了合作关系，如法国的标致和雪铁龙，德国的大众，日本的日产和丰田，韩国的起亚，马来西亚的宝腾， 中国的奇瑞，以及其他一些轻重型车辆生产厂商。伊朗厂商产品 范围包括摩托车、乘用车、有篷货车、微型卡车、中型卡车、重 型卡车、微型客车、大型客车、以及重型汽车，广泛地用于伊国 内工商生产活动之中。尽管伊朗汽车产量很大，但是业界一致认为伊朗现在的汽车产量远远无法满足其国内需求。而伊国内汽车需求量为 150万台，本地厂商无法满足这一需求。而目前，伊朗国内约有近一半的车辆使用期超过 25 年，而机动车人口密度相对较低，每千人约为 55 辆。伊政府已连续几年将轻型车的进口关税调低。进口汽车已经如潮水般地涌进这个国家。由于当地生产量少而需求量大，进口重型车辆的关税仅为车价的 20%，伊朗进口的重型车辆主要品牌有丰田、宝马、奔驰以及 Rover、双龙、 奥迪、雷克萨斯 Rio、现代（含 Sonata 与 Azar1）、雪铁龙、戴克、标致、兰博基尼、大众、雷诺等。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中伊贸易基础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习近平主席于 2016 年1月22日对伊朗进行国事访问，使 中国与伊朗这两个文明古国就此翻开两国关系新篇章，迎来意 义非凡的里程碑。两国签署了《中伊关于建立全面战略伙伴关系的联合声明》，同时，习近平和鲁哈尼共同见证了《中伊两国政府关于共同推进丝绸之路经济带和 21 世纪海上丝绸之路建设的谅解备忘录》以及能源、产能、金融、投资、通信、文化、司法、科技、新闻、海关、气候变化、人力资源等领域多项双边合作文件的签署，这一系列的利好文件都将进一步深化两国之间的经贸、投资、能源、金融、环保等领域的合作，进一步推进“一带一路”的全面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为什么要参展  </w:t>
      </w:r>
      <w:r>
        <w:rPr>
          <w:rFonts w:hint="eastAsia" w:ascii="仿宋_GB2312" w:hAnsi="仿宋_GB2312" w:eastAsia="仿宋_GB2312" w:cs="仿宋_GB2312"/>
          <w:sz w:val="32"/>
          <w:szCs w:val="32"/>
        </w:rPr>
        <w:t>1. 金融货币及国际间汇款趋于稳定安全。根据美国财政部历年来公布的名单，在 24 个被美国制裁的伊朗银行中，只有塞德拉 特银行与恐怖主义有关，因此理论上来说其余的银行都将被取消制裁，对未来中国与伊朗之间的经贸交往带来便利。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2.市场需求巨大。在伊朗，对外资设备和技术具有庞大的需求。老旧的商业设备需要更新，制造业需要现代化，汽车制造业 需要在价格和质量上与国际同行相比更具有竞争力，而中国的产 品恰恰满足了伊朗此方面的巨大需求。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3.伊朗对外政策与政治局势。伊朗鲁哈尼政府执政以来，致 力于打破西方封锁，融入国际社会，在伊核谈判中展现了巨大诚 意，以美国为首的西方针对伊朗实施多年的封锁政策出现松动迹象，虽然从短期看，还会出现一定波折，但是，从远期来看，伊朗迟早会融入国际大家庭。而习近平主席年初成功访问伊朗，表明了中国对伊朗关系的高度重视，“一带一路”战略的展开，必定惠及伊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伊朗经济与社会发展在美国制裁下压抑了36年，随着伊核谈判获得重大进展，伊朗面临的外部局势趋向稳定，在上述有利因素共同影响下，伊朗的经商环境不断改善，外国客商对在伊朗做生意将更加放心。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中国和山东汽摩配件企业的机会。伊朗汽油价格便宜，使得伊朗几乎家家有车。同时伊朗的公共交通非常不发达，汽车也成为伊朗人出行的主要工具。但由于其开车习惯差、很少保养车辆，汽车配件损耗很高、换件需求巨大。近年来中国的汽车零配件品质提升显著，已获得伊朗及周边 中东地区消费者的认可，同时价格与欧美相比保持一贯的优势， 使得当地消费者愿意优先选择中国制造的配件。与产自南方的配件相比，山东的汽配零件用料更“实在”，品质更好。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、收费标准</w:t>
      </w:r>
    </w:p>
    <w:tbl>
      <w:tblPr>
        <w:tblStyle w:val="7"/>
        <w:tblW w:w="925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5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51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报名费: 2000元人民币/企业</w:t>
            </w:r>
          </w:p>
        </w:tc>
        <w:tc>
          <w:tcPr>
            <w:tcW w:w="4740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含邀请函、国内外联络费用等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1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摊位费: 39500元（非38馆），41800元（38馆），（3*3,9平米)</w:t>
            </w:r>
          </w:p>
          <w:p>
            <w:pPr>
              <w:spacing w:line="400" w:lineRule="exact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740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含基本展具和装修（角摊位加10%）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1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人员费: 22800元人民币/人（参考价）</w:t>
            </w:r>
          </w:p>
        </w:tc>
        <w:tc>
          <w:tcPr>
            <w:tcW w:w="4740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含国际段往返机票、境外食宿行、签证费用等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1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运输费、展品关税及特殊道具费</w:t>
            </w:r>
          </w:p>
        </w:tc>
        <w:tc>
          <w:tcPr>
            <w:tcW w:w="4740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按实际发生额计算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255" w:type="dxa"/>
            <w:gridSpan w:val="2"/>
            <w:vAlign w:val="center"/>
          </w:tcPr>
          <w:p>
            <w:pPr>
              <w:spacing w:line="400" w:lineRule="exact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户名：中国国际贸易促进委员会山东省委员会贸易投资服务中心</w:t>
            </w:r>
          </w:p>
          <w:p>
            <w:pPr>
              <w:spacing w:line="400" w:lineRule="exact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开户行：中国农业银行济南市市中区支行</w:t>
            </w:r>
          </w:p>
          <w:p>
            <w:pPr>
              <w:spacing w:line="400" w:lineRule="exact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账号 ：15-1111 0104 0016 679</w:t>
            </w:r>
          </w:p>
        </w:tc>
      </w:tr>
    </w:tbl>
    <w:p>
      <w:pPr>
        <w:spacing w:line="400" w:lineRule="exact"/>
        <w:ind w:firstLine="562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该项目符合国家重点开发方向，已列入2017年山东省补贴计划，凡报名随团并符合中小企业国际市场开拓资金申报资质的参展企业，我中心将以团体项目方式免费为参展企业申报“中小企业国际市场开拓资金”展位补贴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2、欢迎暂时不设摊位的企业报名随团考察、观展。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国际往返机票价格可能的变动将影响最终价格，具体以收费通知为准。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GB"/>
        </w:rPr>
        <w:t>、参展手续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请将填好的参展申请表加盖公章以后发送Email或传真至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山东省贸促会贸易投资服务中心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，并预交摊位定金20,000元及报名费2000元。报名人员，需要至少展期随团。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贸投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中心将按照交纳定金的先后顺序予以确认摊位。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6"/>
      <w:r>
        <w:rPr>
          <w:rFonts w:hint="eastAsia" w:ascii="仿宋_GB2312" w:hAnsi="仿宋_GB2312" w:eastAsia="仿宋_GB2312" w:cs="仿宋_GB2312"/>
          <w:sz w:val="32"/>
          <w:szCs w:val="32"/>
        </w:rPr>
        <w:t>欢迎各企业及相关单位积极参展，具体事宜敬请垂询：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组织单位：临沂市贸促会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曹伟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8056782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18660929831  </w:t>
      </w:r>
      <w:r>
        <w:rPr>
          <w:rFonts w:hint="eastAsia" w:ascii="仿宋_GB2312" w:hAnsi="仿宋_GB2312" w:eastAsia="仿宋_GB2312" w:cs="仿宋_GB2312"/>
          <w:sz w:val="32"/>
          <w:szCs w:val="32"/>
        </w:rPr>
        <w:t>传    真：8139936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"mailto:59768104@qq.com"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59768104@qq.com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山东省贸促会贸易投资服务中心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联系人：苗 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QQ：3001734162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电话: 0531-86168391，13905319190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传真:0531-86168362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电子邮件:miaoyi@ccpitsd.org.cn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地址:济南市经四路 158 号山东省贸促会办公楼 120 房间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邮编:250001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附：参展申请表（代合同）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临沂市贸促会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2017年6月10日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rPr>
          <w:sz w:val="32"/>
          <w:szCs w:val="32"/>
          <w:lang w:val="en-GB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2017年伊朗国际汽车零配件展览会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参展申请表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jc w:val="left"/>
        <w:textAlignment w:val="auto"/>
        <w:rPr>
          <w:sz w:val="32"/>
          <w:szCs w:val="32"/>
          <w:lang w:val="en-GB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jc w:val="left"/>
        <w:textAlignment w:val="auto"/>
        <w:rPr>
          <w:sz w:val="32"/>
          <w:szCs w:val="32"/>
          <w:lang w:val="en-GB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jc w:val="left"/>
        <w:textAlignment w:val="auto"/>
        <w:rPr>
          <w:sz w:val="32"/>
          <w:szCs w:val="32"/>
          <w:lang w:val="en-GB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jc w:val="left"/>
        <w:textAlignment w:val="auto"/>
        <w:rPr>
          <w:sz w:val="32"/>
          <w:szCs w:val="32"/>
          <w:lang w:val="en-GB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jc w:val="left"/>
        <w:textAlignment w:val="auto"/>
        <w:rPr>
          <w:sz w:val="32"/>
          <w:szCs w:val="32"/>
          <w:lang w:val="en-GB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jc w:val="left"/>
        <w:textAlignment w:val="auto"/>
        <w:rPr>
          <w:sz w:val="32"/>
          <w:szCs w:val="32"/>
          <w:lang w:val="en-GB"/>
        </w:rPr>
      </w:pPr>
    </w:p>
    <w:p>
      <w:pPr>
        <w:widowControl/>
        <w:jc w:val="left"/>
        <w:rPr>
          <w:sz w:val="32"/>
          <w:szCs w:val="32"/>
          <w:lang w:val="en-GB"/>
        </w:rPr>
      </w:pPr>
    </w:p>
    <w:p>
      <w:pPr>
        <w:widowControl/>
        <w:jc w:val="center"/>
        <w:rPr>
          <w:sz w:val="32"/>
          <w:szCs w:val="32"/>
          <w:lang w:val="en-GB"/>
        </w:rPr>
      </w:pPr>
      <w:r>
        <w:rPr>
          <w:rFonts w:hint="eastAsia" w:ascii="黑体" w:hAnsi="黑体" w:eastAsia="黑体"/>
          <w:sz w:val="36"/>
          <w:szCs w:val="36"/>
        </w:rPr>
        <w:t>2017年</w:t>
      </w:r>
      <w:bookmarkStart w:id="1" w:name="_GoBack"/>
      <w:bookmarkEnd w:id="1"/>
      <w:r>
        <w:rPr>
          <w:rFonts w:hint="eastAsia" w:ascii="黑体" w:hAnsi="黑体" w:eastAsia="黑体"/>
          <w:sz w:val="36"/>
          <w:szCs w:val="36"/>
        </w:rPr>
        <w:t>伊朗国际汽车零配件展览会</w:t>
      </w:r>
      <w:r>
        <w:rPr>
          <w:rFonts w:hint="eastAsia"/>
          <w:sz w:val="32"/>
          <w:szCs w:val="32"/>
          <w:lang w:val="en-GB"/>
        </w:rPr>
        <w:t>参展申请表</w:t>
      </w:r>
    </w:p>
    <w:tbl>
      <w:tblPr>
        <w:tblStyle w:val="8"/>
        <w:tblpPr w:leftFromText="180" w:rightFromText="180" w:vertAnchor="text" w:horzAnchor="margin" w:tblpXSpec="center" w:tblpY="13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21"/>
        <w:gridCol w:w="891"/>
        <w:gridCol w:w="65"/>
        <w:gridCol w:w="768"/>
        <w:gridCol w:w="768"/>
        <w:gridCol w:w="755"/>
        <w:gridCol w:w="529"/>
        <w:gridCol w:w="394"/>
        <w:gridCol w:w="945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19" w:type="dxa"/>
            <w:vMerge w:val="restart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203" w:type="dxa"/>
            <w:gridSpan w:val="10"/>
          </w:tcPr>
          <w:p>
            <w:pPr>
              <w:spacing w:line="240" w:lineRule="atLeast"/>
              <w:jc w:val="both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9" w:type="dxa"/>
            <w:vMerge w:val="continue"/>
          </w:tcPr>
          <w:p>
            <w:pPr>
              <w:spacing w:line="240" w:lineRule="atLeast"/>
              <w:jc w:val="both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3" w:type="dxa"/>
            <w:gridSpan w:val="10"/>
          </w:tcPr>
          <w:p>
            <w:pPr>
              <w:spacing w:line="240" w:lineRule="atLeast"/>
              <w:jc w:val="both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19" w:type="dxa"/>
            <w:vMerge w:val="restart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7203" w:type="dxa"/>
            <w:gridSpan w:val="10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19" w:type="dxa"/>
            <w:vMerge w:val="continue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203" w:type="dxa"/>
            <w:gridSpan w:val="10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9" w:type="dxa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877" w:type="dxa"/>
            <w:gridSpan w:val="3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3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35" w:type="dxa"/>
            <w:gridSpan w:val="4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19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645" w:type="dxa"/>
            <w:gridSpan w:val="4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3035" w:type="dxa"/>
            <w:gridSpan w:val="4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9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645" w:type="dxa"/>
            <w:gridSpan w:val="4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3035" w:type="dxa"/>
            <w:gridSpan w:val="4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9" w:type="dxa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网址</w:t>
            </w:r>
          </w:p>
        </w:tc>
        <w:tc>
          <w:tcPr>
            <w:tcW w:w="7203" w:type="dxa"/>
            <w:gridSpan w:val="10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240" w:type="dxa"/>
            <w:gridSpan w:val="2"/>
          </w:tcPr>
          <w:p>
            <w:pPr>
              <w:spacing w:line="240" w:lineRule="atLeast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申请标准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展位或光地</w:t>
            </w:r>
          </w:p>
        </w:tc>
        <w:tc>
          <w:tcPr>
            <w:tcW w:w="4170" w:type="dxa"/>
            <w:gridSpan w:val="7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____个标准展位（9㎡单开）</w:t>
            </w:r>
          </w:p>
          <w:p>
            <w:pPr>
              <w:spacing w:line="360" w:lineRule="exact"/>
              <w:jc w:val="both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或____㎡光地（非38馆）</w:t>
            </w:r>
          </w:p>
          <w:p>
            <w:pPr>
              <w:spacing w:line="360" w:lineRule="exact"/>
              <w:jc w:val="both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 xml:space="preserve">展位要求：□双开面  □38馆 </w:t>
            </w:r>
          </w:p>
        </w:tc>
        <w:tc>
          <w:tcPr>
            <w:tcW w:w="945" w:type="dxa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参展</w:t>
            </w:r>
          </w:p>
          <w:p>
            <w:pPr>
              <w:spacing w:line="360" w:lineRule="auto"/>
              <w:jc w:val="both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人员</w:t>
            </w:r>
          </w:p>
        </w:tc>
        <w:tc>
          <w:tcPr>
            <w:tcW w:w="1167" w:type="dxa"/>
          </w:tcPr>
          <w:p>
            <w:pPr>
              <w:spacing w:line="360" w:lineRule="auto"/>
              <w:jc w:val="both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_____名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40" w:type="dxa"/>
            <w:gridSpan w:val="2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展品（中文名）</w:t>
            </w:r>
          </w:p>
        </w:tc>
        <w:tc>
          <w:tcPr>
            <w:tcW w:w="6282" w:type="dxa"/>
            <w:gridSpan w:val="9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40" w:type="dxa"/>
            <w:gridSpan w:val="2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展品（英文名）</w:t>
            </w:r>
          </w:p>
        </w:tc>
        <w:tc>
          <w:tcPr>
            <w:tcW w:w="6282" w:type="dxa"/>
            <w:gridSpan w:val="9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40" w:type="dxa"/>
            <w:gridSpan w:val="2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参展人员姓名</w:t>
            </w:r>
          </w:p>
        </w:tc>
        <w:tc>
          <w:tcPr>
            <w:tcW w:w="89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601" w:type="dxa"/>
            <w:gridSpan w:val="3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1284" w:type="dxa"/>
            <w:gridSpan w:val="2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有效期</w:t>
            </w:r>
          </w:p>
        </w:tc>
        <w:tc>
          <w:tcPr>
            <w:tcW w:w="2506" w:type="dxa"/>
            <w:gridSpan w:val="3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240" w:type="dxa"/>
            <w:gridSpan w:val="2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91" w:type="dxa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3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40" w:type="dxa"/>
            <w:gridSpan w:val="2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91" w:type="dxa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3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240" w:type="dxa"/>
            <w:gridSpan w:val="2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91" w:type="dxa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3"/>
          </w:tcPr>
          <w:p>
            <w:pPr>
              <w:spacing w:line="240" w:lineRule="atLeas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522" w:type="dxa"/>
            <w:gridSpan w:val="11"/>
          </w:tcPr>
          <w:p>
            <w:pPr>
              <w:spacing w:line="360" w:lineRule="exact"/>
              <w:jc w:val="both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知识产权保护：各参展企业须高度重视知识产权保护工作，严格遵守参展地的知识产权保护法规；对展出商品严格把关，防止发生侵权违法行为。严禁涉嫌侵犯知识产权的展品或参展企业参展。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3964" w:type="dxa"/>
            <w:gridSpan w:val="5"/>
          </w:tcPr>
          <w:p>
            <w:pPr>
              <w:spacing w:line="240" w:lineRule="atLeast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参展单位负责人签字</w:t>
            </w:r>
          </w:p>
          <w:p>
            <w:pPr>
              <w:spacing w:line="240" w:lineRule="atLeast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58" w:type="dxa"/>
            <w:gridSpan w:val="6"/>
          </w:tcPr>
          <w:p>
            <w:pPr>
              <w:spacing w:line="240" w:lineRule="atLeast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参展单位公章</w:t>
            </w:r>
          </w:p>
          <w:p>
            <w:pPr>
              <w:spacing w:line="240" w:lineRule="atLeast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日期:    年   月   日</w:t>
            </w:r>
          </w:p>
        </w:tc>
      </w:tr>
    </w:tbl>
    <w:p>
      <w:pPr>
        <w:widowControl/>
        <w:jc w:val="lef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ict>
          <v:group id="Group 3" o:spid="_x0000_s1027" o:spt="203" style="position:absolute;left:0pt;margin-left:158.8pt;margin-top:356.4pt;height:0.1pt;width:68.2pt;mso-position-horizontal-relative:page;mso-position-vertical-relative:page;z-index:-1024;mso-width-relative:page;mso-height-relative:page;" coordorigin="3176,7128" coordsize="1364,2">
            <o:lock v:ext="edit"/>
            <v:shape id="FreeForm 4" o:spid="_x0000_s1028" style="position:absolute;left:3176;top:7128;height:2;width:1364;" filled="f" o:preferrelative="t" coordorigin="3176,7128" coordsize="-24044,-57024" path="m3176,7128l4539,7128e">
              <v:fill on="f" focussize="0,0"/>
              <v:stroke weight="0.69992125984252pt" miterlimit="2"/>
              <v:imagedata o:title=""/>
              <o:lock v:ext="edit"/>
            </v:shape>
          </v:group>
        </w:pic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ict>
          <v:group id="Group 5" o:spid="_x0000_s1029" o:spt="203" style="position:absolute;left:0pt;margin-left:370.5pt;margin-top:367.2pt;height:0.1pt;width:68.15pt;mso-position-horizontal-relative:page;mso-position-vertical-relative:page;z-index:-1024;mso-width-relative:page;mso-height-relative:page;" coordorigin="7410,7344" coordsize="1363,2">
            <o:lock v:ext="edit"/>
            <v:shape id="FreeForm 6" o:spid="_x0000_s1030" style="position:absolute;left:7410;top:7344;height:2;width:1363;" filled="f" o:preferrelative="t" coordorigin="7410,7344" coordsize="-57917,-58752" path="m7410,7344l8773,7344e">
              <v:fill on="f" focussize="0,0"/>
              <v:stroke weight="0.7pt" miterlimit="2"/>
              <v:imagedata o:title=""/>
              <o:lock v:ext="edit"/>
            </v:shap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88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type w:val="continuous"/>
      <w:pgSz w:w="11907" w:h="16840"/>
      <w:pgMar w:top="1587" w:right="1587" w:bottom="1587" w:left="1587" w:header="405" w:footer="0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720"/>
  <w:drawingGridHorizontalSpacing w:val="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2C27"/>
    <w:rsid w:val="00031C47"/>
    <w:rsid w:val="00172A27"/>
    <w:rsid w:val="00210D19"/>
    <w:rsid w:val="00270A60"/>
    <w:rsid w:val="00402930"/>
    <w:rsid w:val="004A6F6D"/>
    <w:rsid w:val="004C1FB0"/>
    <w:rsid w:val="005F7FA0"/>
    <w:rsid w:val="00690EB6"/>
    <w:rsid w:val="006C2809"/>
    <w:rsid w:val="0083128E"/>
    <w:rsid w:val="00A3149A"/>
    <w:rsid w:val="00A61968"/>
    <w:rsid w:val="00AA6BD7"/>
    <w:rsid w:val="00B27A98"/>
    <w:rsid w:val="00C637F4"/>
    <w:rsid w:val="00D547C4"/>
    <w:rsid w:val="00DC2024"/>
    <w:rsid w:val="00EA365E"/>
    <w:rsid w:val="00EC4F09"/>
    <w:rsid w:val="00F63BAE"/>
    <w:rsid w:val="00FD17C5"/>
    <w:rsid w:val="01021551"/>
    <w:rsid w:val="04B32944"/>
    <w:rsid w:val="0D384016"/>
    <w:rsid w:val="18617F3E"/>
    <w:rsid w:val="19C51151"/>
    <w:rsid w:val="1C6E59D7"/>
    <w:rsid w:val="1EA72365"/>
    <w:rsid w:val="227F6529"/>
    <w:rsid w:val="2A794397"/>
    <w:rsid w:val="30271A62"/>
    <w:rsid w:val="34F079CE"/>
    <w:rsid w:val="35EF4695"/>
    <w:rsid w:val="3F9F5461"/>
    <w:rsid w:val="45C63CEB"/>
    <w:rsid w:val="4C772533"/>
    <w:rsid w:val="4C855396"/>
    <w:rsid w:val="4FA87549"/>
    <w:rsid w:val="5BE84759"/>
    <w:rsid w:val="5D9C7622"/>
    <w:rsid w:val="61CD20F1"/>
    <w:rsid w:val="6BD93380"/>
    <w:rsid w:val="73C2282B"/>
    <w:rsid w:val="77DD1EA5"/>
    <w:rsid w:val="7B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semiHidden="0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rPr>
      <w:rFonts w:ascii="宋体" w:hAnsi="宋体"/>
      <w:sz w:val="21"/>
      <w:szCs w:val="21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styleId="6">
    <w:name w:val="Hyperlink"/>
    <w:basedOn w:val="5"/>
    <w:unhideWhenUsed/>
    <w:locked/>
    <w:uiPriority w:val="99"/>
    <w:rPr>
      <w:color w:val="0000FF"/>
      <w:u w:val="single"/>
    </w:rPr>
  </w:style>
  <w:style w:type="table" w:styleId="8">
    <w:name w:val="Table Grid"/>
    <w:basedOn w:val="7"/>
    <w:qFormat/>
    <w:locked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5"/>
    <w:link w:val="2"/>
    <w:semiHidden/>
    <w:qFormat/>
    <w:locked/>
    <w:uiPriority w:val="99"/>
    <w:rPr>
      <w:rFonts w:cs="Times New Roman"/>
      <w:kern w:val="0"/>
      <w:sz w:val="22"/>
      <w:lang w:eastAsia="en-US"/>
    </w:rPr>
  </w:style>
  <w:style w:type="character" w:customStyle="1" w:styleId="10">
    <w:name w:val="页脚 Char"/>
    <w:basedOn w:val="5"/>
    <w:link w:val="3"/>
    <w:semiHidden/>
    <w:qFormat/>
    <w:locked/>
    <w:uiPriority w:val="99"/>
    <w:rPr>
      <w:rFonts w:cs="Times New Roman"/>
      <w:kern w:val="0"/>
      <w:sz w:val="18"/>
      <w:szCs w:val="18"/>
      <w:lang w:eastAsia="en-US"/>
    </w:rPr>
  </w:style>
  <w:style w:type="character" w:customStyle="1" w:styleId="11">
    <w:name w:val="页眉 Char"/>
    <w:basedOn w:val="5"/>
    <w:link w:val="4"/>
    <w:semiHidden/>
    <w:qFormat/>
    <w:locked/>
    <w:uiPriority w:val="99"/>
    <w:rPr>
      <w:rFonts w:cs="Times New Roman"/>
      <w:kern w:val="0"/>
      <w:sz w:val="18"/>
      <w:szCs w:val="18"/>
      <w:lang w:eastAsia="en-US"/>
    </w:rPr>
  </w:style>
  <w:style w:type="paragraph" w:customStyle="1" w:styleId="12">
    <w:name w:val="Heading 11"/>
    <w:basedOn w:val="1"/>
    <w:qFormat/>
    <w:uiPriority w:val="99"/>
    <w:pPr>
      <w:ind w:left="117"/>
      <w:outlineLvl w:val="1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1847</Characters>
  <Lines>15</Lines>
  <Paragraphs>4</Paragraphs>
  <ScaleCrop>false</ScaleCrop>
  <LinksUpToDate>false</LinksUpToDate>
  <CharactersWithSpaces>2167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2014-08-08T14:23:00Z</dcterms:created>
  <dc:creator>微软用户</dc:creator>
  <cp:lastModifiedBy>lenovo</cp:lastModifiedBy>
  <cp:lastPrinted>2017-01-18T09:05:00Z</cp:lastPrinted>
  <dcterms:modified xsi:type="dcterms:W3CDTF">2017-06-16T08:36:57Z</dcterms:modified>
  <dc:title>                                  鲁贸促展函字[2012]53号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